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qaccessibilityclient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Sebastian Sauer &lt;sebastian.sauer@kdab.com&gt;</w:t>
        <w:br/>
        <w:t>Copyright (c) 1991, 1999 Free Software Foundation, Inc.</w:t>
        <w:br/>
        <w:t>Copyright 2012 Frederik Gladhorn &lt;gladhorn@kde.org&gt;</w:t>
        <w:br/>
        <w:t>Copyright 2018 Frederik Gladhorn &lt;gladhorn@kde.org&gt;</w:t>
        <w:br/>
      </w:r>
    </w:p>
    <w:p>
      <w:pPr>
        <w:spacing w:line="420" w:lineRule="exact"/>
        <w:rPr>
          <w:rFonts w:hint="eastAsia"/>
        </w:rPr>
      </w:pPr>
      <w:r>
        <w:rPr>
          <w:rFonts w:ascii="Arial" w:hAnsi="Arial"/>
          <w:b/>
          <w:sz w:val="24"/>
        </w:rPr>
        <w:t xml:space="preserve">License: </w:t>
      </w:r>
      <w:r>
        <w:rPr>
          <w:rFonts w:ascii="Arial" w:hAnsi="Arial"/>
          <w:sz w:val="21"/>
        </w:rPr>
        <w:t>LGPLv2 or LGPLv3</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